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360"/>
        <w:rPr>
          <w:rFonts w:ascii="Times New Roman" w:hAnsi="Times New Roman"/>
          <w:sz w:val="24"/>
        </w:rPr>
      </w:pPr>
      <w:r>
        <w:t xml:space="preserve">    </w:t>
      </w:r>
      <w:r>
        <w:rPr>
          <w:sz w:val="24"/>
          <w:lang w:eastAsia="hr-HR"/>
        </w:rPr>
        <w:drawing>
          <wp:inline distT="0" distB="0" distL="0" distR="0">
            <wp:extent cx="400050" cy="447675"/>
            <wp:effectExtent l="19050" t="0" r="0" b="0"/>
            <wp:docPr id="1" name="Picture 1" descr="grb_drž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b_drža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REPUBLIKA HRVATSKA </w:t>
      </w:r>
    </w:p>
    <w:p>
      <w:pPr>
        <w:pStyle w:val="5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ZADARSKA ŽUPANIJA</w:t>
      </w:r>
    </w:p>
    <w:p>
      <w:pPr>
        <w:pStyle w:val="5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lang w:eastAsia="hr-HR"/>
        </w:rPr>
        <w:drawing>
          <wp:inline distT="0" distB="0" distL="0" distR="0">
            <wp:extent cx="228600" cy="238125"/>
            <wp:effectExtent l="19050" t="0" r="0" b="0"/>
            <wp:docPr id="2" name="Picture 2" descr="grbp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bpo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</w:rPr>
        <w:t>OPĆINA POLAČA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</w:t>
      </w:r>
    </w:p>
    <w:p>
      <w:pPr>
        <w:pStyle w:val="5"/>
        <w:ind w:left="360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RAZINA: 22</w:t>
      </w:r>
    </w:p>
    <w:p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RKP: 34993</w:t>
      </w:r>
    </w:p>
    <w:p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MB: 02631792</w:t>
      </w:r>
    </w:p>
    <w:p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ŠIF.DJEL: 8411</w:t>
      </w:r>
    </w:p>
    <w:p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OIB: 48200439807</w:t>
      </w:r>
    </w:p>
    <w:p>
      <w:pPr>
        <w:rPr>
          <w:rFonts w:ascii="Times-Bold" w:hAnsi="Times-Bold" w:cs="Times-Bold"/>
          <w:b/>
          <w:bCs/>
          <w:sz w:val="24"/>
          <w:szCs w:val="24"/>
        </w:rPr>
      </w:pPr>
    </w:p>
    <w:p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Bilješke uz financijske izvještaje za period 01.01.2022. – 3</w:t>
      </w:r>
      <w:r>
        <w:rPr>
          <w:rFonts w:hint="default" w:ascii="Times-Bold" w:hAnsi="Times-Bold" w:cs="Times-Bold"/>
          <w:b/>
          <w:bCs/>
          <w:sz w:val="24"/>
          <w:szCs w:val="24"/>
          <w:lang w:val="hr-HR"/>
        </w:rPr>
        <w:t>1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  <w:r>
        <w:rPr>
          <w:rFonts w:hint="default" w:ascii="Times-Bold" w:hAnsi="Times-Bold" w:cs="Times-Bold"/>
          <w:b/>
          <w:bCs/>
          <w:sz w:val="24"/>
          <w:szCs w:val="24"/>
          <w:lang w:val="hr-HR"/>
        </w:rPr>
        <w:t>12.</w:t>
      </w:r>
      <w:r>
        <w:rPr>
          <w:rFonts w:ascii="Times-Bold" w:hAnsi="Times-Bold" w:cs="Times-Bold"/>
          <w:b/>
          <w:bCs/>
          <w:sz w:val="24"/>
          <w:szCs w:val="24"/>
        </w:rPr>
        <w:t>2022. godine</w:t>
      </w:r>
    </w:p>
    <w:p>
      <w:pPr>
        <w:rPr>
          <w:rFonts w:ascii="Times-Bold" w:hAnsi="Times-Bold" w:cs="Times-Bold"/>
          <w:b/>
          <w:bCs/>
          <w:sz w:val="24"/>
          <w:szCs w:val="24"/>
        </w:rPr>
      </w:pPr>
    </w:p>
    <w:p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Bilješke uz obrazac PR-RAS</w:t>
      </w:r>
    </w:p>
    <w:p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Bilješka broj 1</w:t>
      </w:r>
      <w:r>
        <w:rPr>
          <w:rFonts w:ascii="Times-Bold" w:hAnsi="Times-Bold" w:cs="Times-Bold"/>
          <w:bCs/>
          <w:sz w:val="24"/>
          <w:szCs w:val="24"/>
        </w:rPr>
        <w:t>. Ukupni prihodi Općine Polača u razdoblju 01.01. do 3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1.12</w:t>
      </w:r>
      <w:r>
        <w:rPr>
          <w:rFonts w:ascii="Times-Bold" w:hAnsi="Times-Bold" w:cs="Times-Bold"/>
          <w:bCs/>
          <w:sz w:val="24"/>
          <w:szCs w:val="24"/>
        </w:rPr>
        <w:t xml:space="preserve">.2022. godine iznose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21.972.578,92</w:t>
      </w:r>
      <w:r>
        <w:rPr>
          <w:rFonts w:ascii="Times-Bold" w:hAnsi="Times-Bold" w:cs="Times-Bold"/>
          <w:bCs/>
          <w:sz w:val="24"/>
          <w:szCs w:val="24"/>
        </w:rPr>
        <w:t xml:space="preserve"> kuna. Od toga ukupni prihodi poslovanja iznose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21.007.445,85</w:t>
      </w:r>
      <w:r>
        <w:rPr>
          <w:rFonts w:ascii="Times-Bold" w:hAnsi="Times-Bold" w:cs="Times-Bold"/>
          <w:bCs/>
          <w:sz w:val="24"/>
          <w:szCs w:val="24"/>
        </w:rPr>
        <w:t xml:space="preserve"> kuna, ukupni prihodi od nefinancijske imovine iznose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805.690,40</w:t>
      </w:r>
      <w:r>
        <w:rPr>
          <w:rFonts w:ascii="Times-Bold" w:hAnsi="Times-Bold" w:cs="Times-Bold"/>
          <w:bCs/>
          <w:sz w:val="24"/>
          <w:szCs w:val="24"/>
        </w:rPr>
        <w:t xml:space="preserve"> kuna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 xml:space="preserve"> i ukupni primici od kratkoročnog zaduživanja po osnovi povrata poreza 159.442,67 kuna</w:t>
      </w:r>
      <w:r>
        <w:rPr>
          <w:rFonts w:ascii="Times-Bold" w:hAnsi="Times-Bold" w:cs="Times-Bold"/>
          <w:bCs/>
          <w:sz w:val="24"/>
          <w:szCs w:val="24"/>
        </w:rPr>
        <w:t xml:space="preserve">. </w:t>
      </w:r>
    </w:p>
    <w:p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Bilješka broj 2.</w:t>
      </w:r>
      <w:r>
        <w:rPr>
          <w:rFonts w:ascii="Times-Bold" w:hAnsi="Times-Bold" w:cs="Times-Bold"/>
          <w:bCs/>
          <w:sz w:val="24"/>
          <w:szCs w:val="24"/>
        </w:rPr>
        <w:t xml:space="preserve"> Ukupni rashodi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 xml:space="preserve"> i izdaci </w:t>
      </w:r>
      <w:r>
        <w:rPr>
          <w:rFonts w:ascii="Times-Bold" w:hAnsi="Times-Bold" w:cs="Times-Bold"/>
          <w:bCs/>
          <w:sz w:val="24"/>
          <w:szCs w:val="24"/>
        </w:rPr>
        <w:t xml:space="preserve">Općine Polača u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razdoblju 01.01.-31.12.</w:t>
      </w:r>
      <w:r>
        <w:rPr>
          <w:rFonts w:ascii="Times-Bold" w:hAnsi="Times-Bold" w:cs="Times-Bold"/>
          <w:bCs/>
          <w:sz w:val="24"/>
          <w:szCs w:val="24"/>
        </w:rPr>
        <w:t xml:space="preserve">2022. godine iznose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15.752.484,79</w:t>
      </w:r>
      <w:r>
        <w:rPr>
          <w:rFonts w:ascii="Times-Bold" w:hAnsi="Times-Bold" w:cs="Times-Bold"/>
          <w:bCs/>
          <w:sz w:val="24"/>
          <w:szCs w:val="24"/>
        </w:rPr>
        <w:t xml:space="preserve"> kuna. Od toga ukupni rashodi poslovanja iznose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6.908.849,49</w:t>
      </w:r>
      <w:r>
        <w:rPr>
          <w:rFonts w:ascii="Times-Bold" w:hAnsi="Times-Bold" w:cs="Times-Bold"/>
          <w:bCs/>
          <w:sz w:val="24"/>
          <w:szCs w:val="24"/>
        </w:rPr>
        <w:t xml:space="preserve"> kunu, ukupni rashodi za nabavu nefinancijske imovine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8.365.067,34</w:t>
      </w:r>
      <w:r>
        <w:rPr>
          <w:rFonts w:ascii="Times-Bold" w:hAnsi="Times-Bold" w:cs="Times-Bold"/>
          <w:bCs/>
          <w:sz w:val="24"/>
          <w:szCs w:val="24"/>
        </w:rPr>
        <w:t xml:space="preserve"> kun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a</w:t>
      </w:r>
      <w:r>
        <w:rPr>
          <w:rFonts w:ascii="Times-Bold" w:hAnsi="Times-Bold" w:cs="Times-Bold"/>
          <w:bCs/>
          <w:sz w:val="24"/>
          <w:szCs w:val="24"/>
        </w:rPr>
        <w:t xml:space="preserve">, te izdaci za financijsku imovinu i otplatu zajmova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478.567,96</w:t>
      </w:r>
      <w:r>
        <w:rPr>
          <w:rFonts w:ascii="Times-Bold" w:hAnsi="Times-Bold" w:cs="Times-Bold"/>
          <w:bCs/>
          <w:sz w:val="24"/>
          <w:szCs w:val="24"/>
        </w:rPr>
        <w:t xml:space="preserve"> kuna</w:t>
      </w:r>
    </w:p>
    <w:p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Bilješka broj 3.</w:t>
      </w:r>
      <w:r>
        <w:rPr>
          <w:rFonts w:ascii="Times-Bold" w:hAnsi="Times-Bold" w:cs="Times-Bold"/>
          <w:bCs/>
          <w:sz w:val="24"/>
          <w:szCs w:val="24"/>
        </w:rPr>
        <w:t xml:space="preserve"> Općina Polača je ostvarila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viš</w:t>
      </w:r>
      <w:r>
        <w:rPr>
          <w:rFonts w:ascii="Times-Bold" w:hAnsi="Times-Bold" w:cs="Times-Bold"/>
          <w:bCs/>
          <w:sz w:val="24"/>
          <w:szCs w:val="24"/>
        </w:rPr>
        <w:t xml:space="preserve">ak prihoda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u</w:t>
      </w:r>
      <w:r>
        <w:rPr>
          <w:rFonts w:ascii="Times-Bold" w:hAnsi="Times-Bold" w:cs="Times-Bold"/>
          <w:bCs/>
          <w:sz w:val="24"/>
          <w:szCs w:val="24"/>
        </w:rPr>
        <w:t xml:space="preserve"> 2022. godin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i</w:t>
      </w:r>
      <w:r>
        <w:rPr>
          <w:rFonts w:ascii="Times-Bold" w:hAnsi="Times-Bold" w:cs="Times-Bold"/>
          <w:bCs/>
          <w:sz w:val="24"/>
          <w:szCs w:val="24"/>
        </w:rPr>
        <w:t xml:space="preserve"> u iznosu od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6.220.094,13</w:t>
      </w:r>
      <w:r>
        <w:rPr>
          <w:rFonts w:ascii="Times-Bold" w:hAnsi="Times-Bold" w:cs="Times-Bold"/>
          <w:bCs/>
          <w:sz w:val="24"/>
          <w:szCs w:val="24"/>
        </w:rPr>
        <w:t>kuna. Preneseni manjak iz prošlih godina iznosi 7.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400.678,91</w:t>
      </w:r>
      <w:r>
        <w:rPr>
          <w:rFonts w:ascii="Times-Bold" w:hAnsi="Times-Bold" w:cs="Times-Bold"/>
          <w:bCs/>
          <w:sz w:val="24"/>
          <w:szCs w:val="24"/>
        </w:rPr>
        <w:t xml:space="preserve"> kuna, što znači da je ukupni manjak Općine Polača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 xml:space="preserve">1.180.584,78 </w:t>
      </w:r>
      <w:r>
        <w:rPr>
          <w:rFonts w:ascii="Times-Bold" w:hAnsi="Times-Bold" w:cs="Times-Bold"/>
          <w:bCs/>
          <w:sz w:val="24"/>
          <w:szCs w:val="24"/>
        </w:rPr>
        <w:t xml:space="preserve"> kun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e</w:t>
      </w:r>
      <w:r>
        <w:rPr>
          <w:rFonts w:ascii="Times-Bold" w:hAnsi="Times-Bold" w:cs="Times-Bold"/>
          <w:bCs/>
          <w:sz w:val="24"/>
          <w:szCs w:val="24"/>
        </w:rPr>
        <w:t>.</w:t>
      </w:r>
    </w:p>
    <w:p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Bilješka broj 4.</w:t>
      </w:r>
      <w:r>
        <w:rPr>
          <w:rFonts w:ascii="Times-Bold" w:hAnsi="Times-Bold" w:cs="Times-Bold"/>
          <w:bCs/>
          <w:sz w:val="24"/>
          <w:szCs w:val="24"/>
        </w:rPr>
        <w:t xml:space="preserve"> Značajnija povećanja prihoda u  2022. godin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i</w:t>
      </w:r>
      <w:r>
        <w:rPr>
          <w:rFonts w:ascii="Times-Bold" w:hAnsi="Times-Bold" w:cs="Times-Bold"/>
          <w:bCs/>
          <w:sz w:val="24"/>
          <w:szCs w:val="24"/>
        </w:rPr>
        <w:t xml:space="preserve"> u odnosu na isto razdoblje 2021. godine su: 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Porez na dohodak je veći za 15.9% i iznosi 1.506.304 kuna. To je posljedica većeg zapošljavanja u dobroj turističkoj sezoni.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ascii="Times-Bold" w:hAnsi="Times-Bold" w:cs="Times-Bold"/>
          <w:bCs/>
          <w:sz w:val="24"/>
          <w:szCs w:val="24"/>
        </w:rPr>
        <w:t xml:space="preserve">Povremeni porez na imovinu odnosi se na porez na promet nekretnina i veći je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91,8</w:t>
      </w:r>
      <w:r>
        <w:rPr>
          <w:rFonts w:ascii="Times-Bold" w:hAnsi="Times-Bold" w:cs="Times-Bold"/>
          <w:bCs/>
          <w:sz w:val="24"/>
          <w:szCs w:val="24"/>
        </w:rPr>
        <w:t>%  iz razloga što je povećana prodaja nekretnina na području Općine Polača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.</w:t>
      </w:r>
    </w:p>
    <w:p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Porez na promet odnosi se na porez na potrošnju alkoholnih i bezalkoholnih pića koji je veći za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51,2</w:t>
      </w:r>
      <w:r>
        <w:rPr>
          <w:rFonts w:ascii="Times-Bold" w:hAnsi="Times-Bold" w:cs="Times-Bold"/>
          <w:bCs/>
          <w:sz w:val="24"/>
          <w:szCs w:val="24"/>
        </w:rPr>
        <w:t>% iz razloga što u prva tri mjeseca 2021. godine  ugostiteljski objekti nisu radili zbog Covid-19 situacije.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Kapitalne pomoći od izvanproračunskih korisnika se odnose na donaciju Fonda za zaštitu okoliša i energetsku učinkovitost u iznosu od 6.115.034,86 kuna i odnose se na proširenje deponija za komunalni otpad u Jagodnjoj Gornjoj, kupnju kompaktora, električnih kolica i komunalnog stroja za prikupljanje otpada.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Naknada za korištenje nefinancijske imovine se odnosi na eksploataciju mineralnih sirovina, odnosno na njen varijabilni i fiksni dio, što znači da je povećan iskop istih i na naknadu za pravo služnosti. Ukupan iznos naplaćenih naknada iznosi 388.903,28  kune i veći je za 33,1%.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ascii="Times-Bold" w:hAnsi="Times-Bold" w:cs="Times-Bold"/>
          <w:bCs/>
          <w:sz w:val="24"/>
          <w:szCs w:val="24"/>
        </w:rPr>
        <w:t xml:space="preserve">Županijske, gradske i općinske pristojbe i naknade iznose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 xml:space="preserve">8.924.017,25 </w:t>
      </w:r>
      <w:r>
        <w:rPr>
          <w:rFonts w:ascii="Times-Bold" w:hAnsi="Times-Bold" w:cs="Times-Bold"/>
          <w:bCs/>
          <w:sz w:val="24"/>
          <w:szCs w:val="24"/>
        </w:rPr>
        <w:t xml:space="preserve">kuna, a odnose se na dovoz komunalnog otpada na deponij u Jagodnjoj Gornjoj. U  2022.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g</w:t>
      </w:r>
      <w:r>
        <w:rPr>
          <w:rFonts w:ascii="Times-Bold" w:hAnsi="Times-Bold" w:cs="Times-Bold"/>
          <w:bCs/>
          <w:sz w:val="24"/>
          <w:szCs w:val="24"/>
        </w:rPr>
        <w:t>odine na deponij voze više novih poslovnih subjekata od kojih je najznačajniji Makarski komunalac d.o.o.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 xml:space="preserve"> i KTD Bilan iz Orebića.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Ostale pristojbe i naknade se odnose na boravišnu pristojbu koja je veća za 168,5% zbog većeg broja registriranih iznajmljivača.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Ostali nespomenuti prihodi se odnose na naplatu starih potraživanja za sufinanciranje projektne dokumentacije proširenja deponija i zbog toga je navedeni prihod povećan za 211,3 %.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Tekuće donacije od pravnih osoba u iznosu od 30.690,00 kuna se odnose na donaciju materijala-jalovine Beton -Zdruga d.o.o.za održavanje nerazvrstanih cesta.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Općina Polača je po osnovi povrata poreza dužna državnom proračunu 159.442,67 kuna.</w:t>
      </w:r>
    </w:p>
    <w:p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Bilješka broj 5</w:t>
      </w:r>
      <w:r>
        <w:rPr>
          <w:rFonts w:ascii="Times-Bold" w:hAnsi="Times-Bold" w:cs="Times-Bold"/>
          <w:bCs/>
          <w:sz w:val="24"/>
          <w:szCs w:val="24"/>
        </w:rPr>
        <w:t>. Značajnija smanjenja prihoda u 2022. godin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i</w:t>
      </w:r>
      <w:r>
        <w:rPr>
          <w:rFonts w:ascii="Times-Bold" w:hAnsi="Times-Bold" w:cs="Times-Bold"/>
          <w:bCs/>
          <w:sz w:val="24"/>
          <w:szCs w:val="24"/>
        </w:rPr>
        <w:t xml:space="preserve"> u odnosu na isto razdoblje 2021. godine su: 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ascii="Times-Bold" w:hAnsi="Times-Bold" w:cs="Times-Bold"/>
          <w:bCs/>
          <w:sz w:val="24"/>
          <w:szCs w:val="24"/>
        </w:rPr>
        <w:t xml:space="preserve">Kapitalne pomoći proračunu iz drugih proračuna i izvanproračunskim korisnicima je bilo manje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 xml:space="preserve">66,10 </w:t>
      </w:r>
      <w:r>
        <w:rPr>
          <w:rFonts w:ascii="Times-Bold" w:hAnsi="Times-Bold" w:cs="Times-Bold"/>
          <w:bCs/>
          <w:sz w:val="24"/>
          <w:szCs w:val="24"/>
        </w:rPr>
        <w:t xml:space="preserve">% i iznose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 xml:space="preserve">976.323,18 </w:t>
      </w:r>
      <w:r>
        <w:rPr>
          <w:rFonts w:ascii="Times-Bold" w:hAnsi="Times-Bold" w:cs="Times-Bold"/>
          <w:bCs/>
          <w:sz w:val="24"/>
          <w:szCs w:val="24"/>
        </w:rPr>
        <w:t>kuna, što se odnosi na pomoć općinskih i gradskih proračuna za proširenje odlagališta komunalnog otpada Jagonja Gornja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, pomoć Zadarske županije za asfaltiranje cesta 150.000,00 kuna, te na donaciju državnog proračuna za asfaltiranje nerazvrstanih cesta.</w:t>
      </w:r>
    </w:p>
    <w:p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Komunalni doprinos je manji za 32,5% zbog manjeg broja izdanih građevinskih dozvola</w:t>
      </w:r>
      <w:r>
        <w:rPr>
          <w:rFonts w:ascii="Times-Bold" w:hAnsi="Times-Bold" w:cs="Times-Bold"/>
          <w:bCs/>
          <w:sz w:val="24"/>
          <w:szCs w:val="24"/>
        </w:rPr>
        <w:t>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ascii="Times-Bold" w:hAnsi="Times-Bold" w:cs="Times-Bold"/>
          <w:bCs/>
          <w:sz w:val="24"/>
          <w:szCs w:val="24"/>
        </w:rPr>
        <w:t>Prihodi od zemljišta se odnose na prodaju građevinskih terena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 xml:space="preserve"> od</w:t>
      </w:r>
      <w:r>
        <w:rPr>
          <w:rFonts w:ascii="Times-Bold" w:hAnsi="Times-Bold" w:cs="Times-Bold"/>
          <w:bCs/>
          <w:sz w:val="24"/>
          <w:szCs w:val="24"/>
        </w:rPr>
        <w:t xml:space="preserve"> kojih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je</w:t>
      </w:r>
      <w:r>
        <w:rPr>
          <w:rFonts w:ascii="Times-Bold" w:hAnsi="Times-Bold" w:cs="Times-Bold"/>
          <w:bCs/>
          <w:sz w:val="24"/>
          <w:szCs w:val="24"/>
        </w:rPr>
        <w:t xml:space="preserve"> u 2022. godin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i prodano dva.</w:t>
      </w:r>
    </w:p>
    <w:p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Prihodi od ostalih građevinskih objekata se odnose na prodaju grobnica. U  2022. godin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i</w:t>
      </w:r>
      <w:r>
        <w:rPr>
          <w:rFonts w:ascii="Times-Bold" w:hAnsi="Times-Bold" w:cs="Times-Bold"/>
          <w:bCs/>
          <w:sz w:val="24"/>
          <w:szCs w:val="24"/>
        </w:rPr>
        <w:t xml:space="preserve"> nisu se prodavale grobnice. 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Prihodi od ostalih prava se odose na novu katastarsku izmjeru i manji su za 73,60% u odnosu na isto razdoblje prošle godine.</w:t>
      </w:r>
    </w:p>
    <w:p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Primitaka od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 xml:space="preserve"> dugoročnog</w:t>
      </w:r>
      <w:r>
        <w:rPr>
          <w:rFonts w:ascii="Times-Bold" w:hAnsi="Times-Bold" w:cs="Times-Bold"/>
          <w:bCs/>
          <w:sz w:val="24"/>
          <w:szCs w:val="24"/>
        </w:rPr>
        <w:t xml:space="preserve"> zaduživanja u 2022. godine nije bilo.</w:t>
      </w:r>
    </w:p>
    <w:p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Bilješka broj 6.</w:t>
      </w:r>
      <w:r>
        <w:rPr>
          <w:rFonts w:ascii="Times-Bold" w:hAnsi="Times-Bold" w:cs="Times-Bold"/>
          <w:bCs/>
          <w:sz w:val="24"/>
          <w:szCs w:val="24"/>
        </w:rPr>
        <w:t xml:space="preserve"> Značajnija povećanja rashoda u 2022. godin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 xml:space="preserve">i </w:t>
      </w:r>
      <w:r>
        <w:rPr>
          <w:rFonts w:ascii="Times-Bold" w:hAnsi="Times-Bold" w:cs="Times-Bold"/>
          <w:bCs/>
          <w:sz w:val="24"/>
          <w:szCs w:val="24"/>
        </w:rPr>
        <w:t xml:space="preserve">u odnosu na isto razdoblje 2021. godine su: 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Ostali rashodi za zaposlene su veći za 35,1% zbog isplaćenih većih nagrada, darova, bonusa, regresa i ostalih nenavedenih rashoda za zaposlene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Službena putovanja su također veća za 44,4% zbog povećanja cijene goriva.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ascii="Times-Bold" w:hAnsi="Times-Bold" w:cs="Times-Bold"/>
          <w:bCs/>
          <w:sz w:val="24"/>
          <w:szCs w:val="24"/>
        </w:rPr>
        <w:t xml:space="preserve">Rashodi za energiju su veći za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71,5</w:t>
      </w:r>
      <w:r>
        <w:rPr>
          <w:rFonts w:ascii="Times-Bold" w:hAnsi="Times-Bold" w:cs="Times-Bold"/>
          <w:bCs/>
          <w:sz w:val="24"/>
          <w:szCs w:val="24"/>
        </w:rPr>
        <w:t>% iz razloga što je postavljeno više javne rasvjete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, nabavke kompaktora i zbog povećanja cijene svih energenata.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Usluge tekućeg i investicijskog održavanja veće su za 60,5% zbog saniranja divljih deponija.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Komunalne usluge veće su za 29,1% zbog povećanja potrošnje vode.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Zakupnine i najamnine su veće za 411% iz razloga što je iznajmljen buldožer od Bemix d.o.o. za 50.000,00 kuna.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Računalne usluge iznose 33.758,72 kune iz razloga što je kupljen novi računovodstveni program i proračunski ciklus, te se plaća održavanje istog, a u prošloj godini je ostvaren popust na prvih šest mjeseci, te zbog uvođenja Eura kao službene valute Republike Hrvatske.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Ostale usluge se odnose na čišćenje, fotografiranje i usluge Fine za raspored sredstava i veći je za 34,3%. Iznosi 38.096,20 kuna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Reprezentacija je veća  za 48,8 % zbog većeg broja organiziranih događanja u Općini nakon ukinutih mjera protiv Covid-19.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Ostali nespomeuti rashodi poslovanja su veći za 176,9% zbog plaćanja organizacije Lijepa naša tamburaša i Adventa u Polači.</w:t>
      </w:r>
    </w:p>
    <w:p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Kamate za primljene kredite i zajmove od kreditnih  i ostalih financijskih institucija u javnom sektoru se odnose na dugoročni  kredit u iznosu od 2.879.521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,00</w:t>
      </w:r>
      <w:r>
        <w:rPr>
          <w:rFonts w:ascii="Times-Bold" w:hAnsi="Times-Bold" w:cs="Times-Bold"/>
          <w:bCs/>
          <w:sz w:val="24"/>
          <w:szCs w:val="24"/>
        </w:rPr>
        <w:t xml:space="preserve">  kunu  od HBOR-a, kamata na isti kredit izno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si</w:t>
      </w:r>
      <w:r>
        <w:rPr>
          <w:rFonts w:ascii="Times-Bold" w:hAnsi="Times-Bold" w:cs="Times-Bold"/>
          <w:bCs/>
          <w:sz w:val="24"/>
          <w:szCs w:val="24"/>
        </w:rPr>
        <w:t xml:space="preserve"> 265.003,16 kuna</w:t>
      </w:r>
    </w:p>
    <w:p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Tekuće pomoći proračunskim korisnicima drugih proračuna se odnose na OŠ Polača. Iznos se povećao za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97,8</w:t>
      </w:r>
      <w:r>
        <w:rPr>
          <w:rFonts w:ascii="Times-Bold" w:hAnsi="Times-Bold" w:cs="Times-Bold"/>
          <w:bCs/>
          <w:sz w:val="24"/>
          <w:szCs w:val="24"/>
        </w:rPr>
        <w:t>% iz razloga što Općina Polača sufinancira predškolu i kupila je interektivni monitor za školu u iznosu od 18.750,00 kuna.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Kapitalne pomoći proračunskim korisnicima drugih proračuna se odnose na donacije OŠ Franka Lisice za rekostrukciju vanjskih klupa i kupnju klima uređaja, te na pomoć PU Benkovac-Obrovac.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Naknada građanima i kućanstvima u naravi su veće za 646% i odnosi se na prijevoz srednjoškolskih učenika i sufinaciranje dječjih vrtića.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Tekuće donacije veće su za 22,8% i odnose se na donacije udrugama, političkim strankama, sportskim društvima i ostalo.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Kapitalne donacije neprofitnim organizacijama su veće za 92,6% i odnose se na donacije Župnoj crkvi Sv. Kuzme i Damjana u Polači</w:t>
      </w:r>
    </w:p>
    <w:p>
      <w:pPr>
        <w:jc w:val="both"/>
        <w:rPr>
          <w:rFonts w:hint="default" w:ascii="Times-Bold" w:hAnsi="Times-Bold"/>
          <w:bCs/>
          <w:sz w:val="24"/>
          <w:szCs w:val="24"/>
          <w:lang w:val="hr-HR"/>
        </w:rPr>
      </w:pPr>
      <w:r>
        <w:rPr>
          <w:rFonts w:ascii="Times-Bold" w:hAnsi="Times-Bold" w:cs="Times-Bold"/>
          <w:bCs/>
          <w:sz w:val="24"/>
          <w:szCs w:val="24"/>
        </w:rPr>
        <w:t xml:space="preserve">Ostali građevinski objekti  su  veći za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29.7</w:t>
      </w:r>
      <w:r>
        <w:rPr>
          <w:rFonts w:ascii="Times-Bold" w:hAnsi="Times-Bold" w:cs="Times-Bold"/>
          <w:bCs/>
          <w:sz w:val="24"/>
          <w:szCs w:val="24"/>
        </w:rPr>
        <w:t xml:space="preserve"> % i odnose se najvećim dijelom  nadogradnju sekundarne vodovodne mreže </w:t>
      </w:r>
      <w:r>
        <w:rPr>
          <w:rFonts w:hint="default" w:ascii="Times-Bold" w:hAnsi="Times-Bold"/>
          <w:bCs/>
          <w:sz w:val="24"/>
          <w:szCs w:val="24"/>
          <w:lang w:val="hr-HR"/>
        </w:rPr>
        <w:t>85.844,81</w:t>
      </w:r>
      <w:r>
        <w:rPr>
          <w:rFonts w:ascii="Times-Bold" w:hAnsi="Times-Bold" w:cs="Times-Bold"/>
          <w:bCs/>
          <w:sz w:val="24"/>
          <w:szCs w:val="24"/>
        </w:rPr>
        <w:t xml:space="preserve">  kuna,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sportsko igralište Jagodnja Donja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>
        <w:rPr>
          <w:rFonts w:hint="default" w:ascii="Times-Bold" w:hAnsi="Times-Bold"/>
          <w:bCs/>
          <w:sz w:val="24"/>
          <w:szCs w:val="24"/>
          <w:lang w:val="hr-HR"/>
        </w:rPr>
        <w:t>591.762,08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 xml:space="preserve"> kuna, </w:t>
      </w:r>
      <w:r>
        <w:rPr>
          <w:rFonts w:ascii="Times-Bold" w:hAnsi="Times-Bold" w:cs="Times-Bold"/>
          <w:bCs/>
          <w:sz w:val="24"/>
          <w:szCs w:val="24"/>
        </w:rPr>
        <w:t xml:space="preserve">zid Gnjilovača </w:t>
      </w:r>
      <w:r>
        <w:rPr>
          <w:rFonts w:hint="default" w:ascii="Times-Bold" w:hAnsi="Times-Bold"/>
          <w:bCs/>
          <w:sz w:val="24"/>
          <w:szCs w:val="24"/>
        </w:rPr>
        <w:t>83.152,79</w:t>
      </w:r>
      <w:r>
        <w:rPr>
          <w:rFonts w:ascii="Times-Bold" w:hAnsi="Times-Bold" w:cs="Times-Bold"/>
          <w:bCs/>
          <w:sz w:val="24"/>
          <w:szCs w:val="24"/>
        </w:rPr>
        <w:t xml:space="preserve"> kuna, rasvjeta bunara u Kakmi 14.375,00 kuna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 xml:space="preserve">, javna rasvjeta 74.700,00 </w:t>
      </w:r>
      <w:r>
        <w:rPr>
          <w:rFonts w:hint="default" w:ascii="Times-Bold" w:hAnsi="Times-Bold"/>
          <w:bCs/>
          <w:sz w:val="24"/>
          <w:szCs w:val="24"/>
          <w:lang w:val="hr-HR"/>
        </w:rPr>
        <w:t>kuna,</w:t>
      </w:r>
      <w:r>
        <w:rPr>
          <w:rFonts w:ascii="Times-Bold" w:hAnsi="Times-Bold" w:cs="Times-Bold"/>
          <w:bCs/>
          <w:sz w:val="24"/>
          <w:szCs w:val="24"/>
        </w:rPr>
        <w:t xml:space="preserve">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 xml:space="preserve"> bunar Pribić </w:t>
      </w:r>
      <w:r>
        <w:rPr>
          <w:rFonts w:hint="default" w:ascii="Times-Bold" w:hAnsi="Times-Bold"/>
          <w:bCs/>
          <w:sz w:val="24"/>
          <w:szCs w:val="24"/>
          <w:lang w:val="hr-HR"/>
        </w:rPr>
        <w:t>101.818,94 kuna.</w:t>
      </w:r>
    </w:p>
    <w:p>
      <w:pPr>
        <w:jc w:val="both"/>
        <w:rPr>
          <w:rFonts w:hint="default" w:ascii="Times-Bold" w:hAnsi="Times-Bold"/>
          <w:bCs/>
          <w:sz w:val="24"/>
          <w:szCs w:val="24"/>
          <w:lang w:val="hr-HR"/>
        </w:rPr>
      </w:pPr>
      <w:r>
        <w:rPr>
          <w:rFonts w:hint="default" w:ascii="Times-Bold" w:hAnsi="Times-Bold"/>
          <w:bCs/>
          <w:sz w:val="24"/>
          <w:szCs w:val="24"/>
          <w:lang w:val="hr-HR"/>
        </w:rPr>
        <w:t>Ulaganja u računalne programe je veće za 49,5% iz razloga što je trebalo mijenjati računovodstveni program zbog uvođenja eura.</w:t>
      </w:r>
    </w:p>
    <w:p>
      <w:pPr>
        <w:jc w:val="both"/>
        <w:rPr>
          <w:rFonts w:hint="default" w:ascii="Times-Bold" w:hAnsi="Times-Bold"/>
          <w:bCs/>
          <w:sz w:val="24"/>
          <w:szCs w:val="24"/>
          <w:lang w:val="hr-HR"/>
        </w:rPr>
      </w:pPr>
      <w:r>
        <w:rPr>
          <w:rFonts w:hint="default" w:ascii="Times-Bold" w:hAnsi="Times-Bold"/>
          <w:bCs/>
          <w:sz w:val="24"/>
          <w:szCs w:val="24"/>
          <w:lang w:val="hr-HR"/>
        </w:rPr>
        <w:t>Dodatna ulaganja na građevinskim objektima se odnose na: multifunkcionalno sportsko igralište 4.848,25 kuna, spomen park 52.136,18 kuna i deponij 3.215.225,80 kuna.</w:t>
      </w:r>
    </w:p>
    <w:p>
      <w:pPr>
        <w:jc w:val="both"/>
        <w:rPr>
          <w:rFonts w:hint="default" w:ascii="Times-Bold" w:hAnsi="Times-Bold"/>
          <w:bCs/>
          <w:sz w:val="24"/>
          <w:szCs w:val="24"/>
          <w:lang w:val="hr-HR"/>
        </w:rPr>
      </w:pPr>
      <w:r>
        <w:rPr>
          <w:rFonts w:hint="default" w:ascii="Times-Bold" w:hAnsi="Times-Bold"/>
          <w:bCs/>
          <w:sz w:val="24"/>
          <w:szCs w:val="24"/>
          <w:lang w:val="hr-HR"/>
        </w:rPr>
        <w:t>Općina Polača je u 2022. godini kupila kompaktor, električna kolica i komunalni stroj zaprikupljanje otpada.</w:t>
      </w:r>
    </w:p>
    <w:p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>Općina Polača je vratila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 xml:space="preserve"> 287.952,12</w:t>
      </w:r>
      <w:r>
        <w:rPr>
          <w:rFonts w:ascii="Times-Bold" w:hAnsi="Times-Bold" w:cs="Times-Bold"/>
          <w:bCs/>
          <w:sz w:val="24"/>
          <w:szCs w:val="24"/>
        </w:rPr>
        <w:t xml:space="preserve"> kuna dugoročnog kredita od HBOR-a i </w:t>
      </w:r>
      <w:r>
        <w:rPr>
          <w:rFonts w:hint="default" w:ascii="Times-Bold" w:hAnsi="Times-Bold"/>
          <w:bCs/>
          <w:sz w:val="24"/>
          <w:szCs w:val="24"/>
        </w:rPr>
        <w:t>190.615,84</w:t>
      </w:r>
      <w:r>
        <w:rPr>
          <w:rFonts w:ascii="Times-Bold" w:hAnsi="Times-Bold" w:cs="Times-Bold"/>
          <w:bCs/>
          <w:sz w:val="24"/>
          <w:szCs w:val="24"/>
        </w:rPr>
        <w:t xml:space="preserve"> kuna kratkoročnog zajma za povrat poreza </w:t>
      </w:r>
    </w:p>
    <w:p>
      <w:pPr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Bilješka broj 7.</w:t>
      </w:r>
      <w:r>
        <w:rPr>
          <w:rFonts w:ascii="Times-Bold" w:hAnsi="Times-Bold" w:cs="Times-Bold"/>
          <w:bCs/>
          <w:sz w:val="24"/>
          <w:szCs w:val="24"/>
        </w:rPr>
        <w:t xml:space="preserve"> Značajnija smanjenja rashoda u  2022. godin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i</w:t>
      </w:r>
      <w:r>
        <w:rPr>
          <w:rFonts w:ascii="Times-Bold" w:hAnsi="Times-Bold" w:cs="Times-Bold"/>
          <w:bCs/>
          <w:sz w:val="24"/>
          <w:szCs w:val="24"/>
        </w:rPr>
        <w:t xml:space="preserve"> u odnosu na isto razdoblje 2021. godine  su: 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Usluge telefona, pošte i prijevoza su manje za 23,10% iz razloga što je bilo manje troškova prijevoza.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Intelektualne i osobne usluge su manje za 24,5% jer je plaćano manje odvjetničkih usluga.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Naknade za rad predstavničkih i izvršnih tijela, povjerenstava i slično su manji za 65,7% iz razloga što nije bilo lokalnih izbora.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Bankarske usluge i usluge platnog prometa su manje za 55% iz razloga što je u prošloj godini dignut kredit od HBOR-a, te su na isti plaćeni troškovi obrade.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Zatezne kamate su manje za 99,9% budući je prošloj godini Općina Polača izgubila sudski spor s Trgoprijevozom Peraić.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Naknade šteta pravnim i fizičkim osobama u 2022. godini nije bilo, a prošle godine ta se naknada odnosi na trgoprijevoz Peraić.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Poslovni objekti su manji za 83,80% , iz razloga što su u 2021. godini bili veći rashodi za izgradnju dječjeg vrtića. U 2022. godini se uređivao okoliš oko istog.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Ostali građevinski objekti su manji za 85,30% zbog knjiženja istih na dodatna uslaganja na građevinskim objektima.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Uredska oprema i namještaj i komunikacijska oprema nije kupovana u 2022. godini.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Cs/>
          <w:sz w:val="24"/>
          <w:szCs w:val="24"/>
          <w:lang w:val="hr-HR"/>
        </w:rPr>
        <w:t>Oprema za održavanje i zaštitu je manja za 78,7%% jer su u 2021. nabavljene kante za smeće.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ascii="Times-Bold" w:hAnsi="Times-Bold" w:cs="Times-Bold"/>
          <w:bCs/>
          <w:sz w:val="24"/>
          <w:szCs w:val="24"/>
        </w:rPr>
        <w:t xml:space="preserve">Ulaganja u ostalu nematerijalnu imovinu su manja za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60,1</w:t>
      </w:r>
      <w:r>
        <w:rPr>
          <w:rFonts w:ascii="Times-Bold" w:hAnsi="Times-Bold" w:cs="Times-Bold"/>
          <w:bCs/>
          <w:sz w:val="24"/>
          <w:szCs w:val="24"/>
        </w:rPr>
        <w:t>%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.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</w:p>
    <w:p>
      <w:pPr>
        <w:rPr>
          <w:rFonts w:hint="default" w:ascii="Times-Bold" w:hAnsi="Times-Bold" w:cs="Times-Bold"/>
          <w:b/>
          <w:bCs/>
          <w:sz w:val="24"/>
          <w:szCs w:val="24"/>
          <w:lang w:val="hr-HR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Bilješke uz obrazac </w:t>
      </w:r>
      <w:r>
        <w:rPr>
          <w:rFonts w:hint="default" w:ascii="Times-Bold" w:hAnsi="Times-Bold" w:cs="Times-Bold"/>
          <w:b/>
          <w:bCs/>
          <w:sz w:val="24"/>
          <w:szCs w:val="24"/>
          <w:lang w:val="hr-HR"/>
        </w:rPr>
        <w:t>Bilanca</w:t>
      </w:r>
    </w:p>
    <w:p>
      <w:pPr>
        <w:jc w:val="both"/>
        <w:rPr>
          <w:rFonts w:hint="default" w:ascii="Times-Bold" w:hAnsi="Times-Bold"/>
          <w:bCs/>
          <w:sz w:val="24"/>
          <w:szCs w:val="24"/>
          <w:lang w:val="hr-HR"/>
        </w:rPr>
      </w:pPr>
      <w:r>
        <w:rPr>
          <w:rFonts w:hint="default" w:ascii="Times-Bold" w:hAnsi="Times-Bold" w:cs="Times-Bold"/>
          <w:b w:val="0"/>
          <w:bCs w:val="0"/>
          <w:sz w:val="24"/>
          <w:szCs w:val="24"/>
          <w:lang w:val="hr-HR"/>
        </w:rPr>
        <w:t xml:space="preserve">Nefinancijska imovina Općine Polača je veća za 40,8%, najvećim dijelom zbog knjiženja procjenjenih građevinskih terena u vlasništvu Općine Polača, </w:t>
      </w:r>
      <w:bookmarkStart w:id="0" w:name="_GoBack"/>
      <w:bookmarkEnd w:id="0"/>
      <w:r>
        <w:rPr>
          <w:rFonts w:hint="default" w:ascii="Times-Bold" w:hAnsi="Times-Bold" w:cs="Times-Bold"/>
          <w:b w:val="0"/>
          <w:bCs w:val="0"/>
          <w:sz w:val="24"/>
          <w:szCs w:val="24"/>
          <w:lang w:val="hr-HR"/>
        </w:rPr>
        <w:t xml:space="preserve">proširenja deponija, asfaltiranja cesta, sportskog igrališta u Jagodnjoj Donjoj, okoliša oko dječjeg vrtića i nabave </w:t>
      </w:r>
      <w:r>
        <w:rPr>
          <w:rFonts w:hint="default" w:ascii="Times-Bold" w:hAnsi="Times-Bold"/>
          <w:bCs/>
          <w:sz w:val="24"/>
          <w:szCs w:val="24"/>
          <w:lang w:val="hr-HR"/>
        </w:rPr>
        <w:t xml:space="preserve"> kompaktora, električnih kolica i komunalnog stroja za prikupljanje otpada.</w:t>
      </w:r>
    </w:p>
    <w:p>
      <w:pPr>
        <w:jc w:val="both"/>
        <w:rPr>
          <w:rFonts w:hint="default" w:ascii="Times-Bold" w:hAnsi="Times-Bold"/>
          <w:bCs/>
          <w:sz w:val="24"/>
          <w:szCs w:val="24"/>
          <w:lang w:val="hr-HR"/>
        </w:rPr>
      </w:pPr>
      <w:r>
        <w:rPr>
          <w:rFonts w:hint="default" w:ascii="Times-Bold" w:hAnsi="Times-Bold"/>
          <w:bCs/>
          <w:sz w:val="24"/>
          <w:szCs w:val="24"/>
          <w:lang w:val="hr-HR"/>
        </w:rPr>
        <w:t>Financijska imovina je veća za 66,1% najvećim dijelom zbog stanja na žiro-računa i većih potraživanja od kupaca.</w:t>
      </w:r>
    </w:p>
    <w:p>
      <w:pPr>
        <w:jc w:val="both"/>
        <w:rPr>
          <w:rFonts w:hint="default" w:ascii="Times-Bold" w:hAnsi="Times-Bold"/>
          <w:bCs/>
          <w:sz w:val="24"/>
          <w:szCs w:val="24"/>
          <w:lang w:val="hr-HR"/>
        </w:rPr>
      </w:pPr>
      <w:r>
        <w:rPr>
          <w:rFonts w:hint="default" w:ascii="Times-Bold" w:hAnsi="Times-Bold"/>
          <w:bCs/>
          <w:sz w:val="24"/>
          <w:szCs w:val="24"/>
          <w:lang w:val="hr-HR"/>
        </w:rPr>
        <w:t>Obveze Općine Polača su manje za 33,1% .</w:t>
      </w:r>
    </w:p>
    <w:p>
      <w:pPr>
        <w:rPr>
          <w:rFonts w:hint="default" w:ascii="Times-Bold" w:hAnsi="Times-Bold" w:cs="Times-Bold"/>
          <w:b w:val="0"/>
          <w:bCs w:val="0"/>
          <w:sz w:val="24"/>
          <w:szCs w:val="24"/>
          <w:lang w:val="hr-HR"/>
        </w:rPr>
      </w:pP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</w:p>
    <w:p>
      <w:pPr>
        <w:rPr>
          <w:rFonts w:ascii="Times-Bold" w:hAnsi="Times-Bold" w:cs="Times-Bold"/>
          <w:b/>
          <w:bCs/>
          <w:sz w:val="24"/>
          <w:szCs w:val="24"/>
        </w:rPr>
      </w:pPr>
    </w:p>
    <w:p>
      <w:pPr>
        <w:rPr>
          <w:rFonts w:ascii="Times-Bold" w:hAnsi="Times-Bold" w:cs="Times-Bold"/>
          <w:b/>
          <w:bCs/>
          <w:sz w:val="24"/>
          <w:szCs w:val="24"/>
        </w:rPr>
      </w:pPr>
    </w:p>
    <w:p>
      <w:pPr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Bilješke uz obrazac Obveze</w:t>
      </w:r>
    </w:p>
    <w:p>
      <w:pPr>
        <w:jc w:val="both"/>
        <w:rPr>
          <w:rFonts w:hint="default" w:ascii="Times-Bold" w:hAnsi="Times-Bold" w:cs="Times-Bold"/>
          <w:bCs/>
          <w:sz w:val="24"/>
          <w:szCs w:val="24"/>
          <w:lang w:val="hr-HR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Bilješka broj 1. </w:t>
      </w:r>
      <w:r>
        <w:rPr>
          <w:rFonts w:ascii="Times-Bold" w:hAnsi="Times-Bold" w:cs="Times-Bold"/>
          <w:bCs/>
          <w:sz w:val="24"/>
          <w:szCs w:val="24"/>
        </w:rPr>
        <w:t xml:space="preserve">Ukupne obveze na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31.12</w:t>
      </w:r>
      <w:r>
        <w:rPr>
          <w:rFonts w:ascii="Times-Bold" w:hAnsi="Times-Bold" w:cs="Times-Bold"/>
          <w:bCs/>
          <w:sz w:val="24"/>
          <w:szCs w:val="24"/>
        </w:rPr>
        <w:t>.2022. godine iznose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 xml:space="preserve"> 7.591.386,41</w:t>
      </w:r>
      <w:r>
        <w:rPr>
          <w:rFonts w:ascii="Times-Bold" w:hAnsi="Times-Bold" w:cs="Times-Bold"/>
          <w:bCs/>
          <w:sz w:val="24"/>
          <w:szCs w:val="24"/>
        </w:rPr>
        <w:t xml:space="preserve"> kuna i 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manje</w:t>
      </w:r>
      <w:r>
        <w:rPr>
          <w:rFonts w:ascii="Times-Bold" w:hAnsi="Times-Bold" w:cs="Times-Bold"/>
          <w:bCs/>
          <w:sz w:val="24"/>
          <w:szCs w:val="24"/>
        </w:rPr>
        <w:t xml:space="preserve"> su za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3.762.217,26</w:t>
      </w:r>
      <w:r>
        <w:rPr>
          <w:rFonts w:ascii="Times-Bold" w:hAnsi="Times-Bold" w:cs="Times-Bold"/>
          <w:bCs/>
          <w:sz w:val="24"/>
          <w:szCs w:val="24"/>
        </w:rPr>
        <w:t xml:space="preserve"> kuna nego na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01.01</w:t>
      </w:r>
      <w:r>
        <w:rPr>
          <w:rFonts w:ascii="Times-Bold" w:hAnsi="Times-Bold" w:cs="Times-Bold"/>
          <w:bCs/>
          <w:sz w:val="24"/>
          <w:szCs w:val="24"/>
        </w:rPr>
        <w:t xml:space="preserve">.2022. godine. Iznos nedospjelih obveza je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7.360.035,02</w:t>
      </w:r>
      <w:r>
        <w:rPr>
          <w:rFonts w:ascii="Times-Bold" w:hAnsi="Times-Bold" w:cs="Times-Bold"/>
          <w:bCs/>
          <w:sz w:val="24"/>
          <w:szCs w:val="24"/>
        </w:rPr>
        <w:t xml:space="preserve"> kuna, a dospjelih obveza 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 xml:space="preserve">231.351,39 </w:t>
      </w:r>
      <w:r>
        <w:rPr>
          <w:rFonts w:ascii="Times-Bold" w:hAnsi="Times-Bold" w:cs="Times-Bold"/>
          <w:bCs/>
          <w:sz w:val="24"/>
          <w:szCs w:val="24"/>
        </w:rPr>
        <w:t>kuna. Ovakva razlika između dospjelih i nedospjelih obveza je iz razloga što je Općina Polača sklopila sporazum o otplati duga Trgoprijevozu Peraić na tri godine, bez naplate daljnjih kamata</w:t>
      </w:r>
      <w:r>
        <w:rPr>
          <w:rFonts w:hint="default" w:ascii="Times-Bold" w:hAnsi="Times-Bold" w:cs="Times-Bold"/>
          <w:bCs/>
          <w:sz w:val="24"/>
          <w:szCs w:val="24"/>
          <w:lang w:val="hr-HR"/>
        </w:rPr>
        <w:t>, te nedospjele rate kredita dignutog od HBOR-a. Dospjele obveze će se podmiriti u kratkom roku, budući da ima sredstava na žiro računu u iznosu od 3.650.364,98 kuna.</w:t>
      </w:r>
    </w:p>
    <w:p>
      <w:pPr>
        <w:rPr>
          <w:rFonts w:ascii="Times-Bold" w:hAnsi="Times-Bold" w:cs="Times-Bold"/>
          <w:b/>
          <w:bCs/>
          <w:sz w:val="24"/>
          <w:szCs w:val="24"/>
        </w:rPr>
      </w:pPr>
    </w:p>
    <w:p>
      <w:pPr>
        <w:jc w:val="both"/>
        <w:rPr>
          <w:rFonts w:ascii="Times-Bold" w:hAnsi="Times-Bold" w:cs="Times-Bold"/>
          <w:bCs/>
          <w:sz w:val="24"/>
          <w:szCs w:val="24"/>
        </w:rPr>
      </w:pPr>
    </w:p>
    <w:p>
      <w:pPr>
        <w:jc w:val="both"/>
        <w:rPr>
          <w:rFonts w:ascii="Times-Bold" w:hAnsi="Times-Bold" w:cs="Times-Bold"/>
          <w:bCs/>
          <w:sz w:val="24"/>
          <w:szCs w:val="24"/>
        </w:rPr>
      </w:pPr>
    </w:p>
    <w:p>
      <w:pPr>
        <w:ind w:left="4248" w:firstLine="708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 Općinski načelnik</w:t>
      </w:r>
    </w:p>
    <w:p>
      <w:pPr>
        <w:ind w:left="4248" w:firstLine="708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 Tomislav Prtenjača</w:t>
      </w:r>
    </w:p>
    <w:p>
      <w:pPr>
        <w:jc w:val="both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77DF6"/>
    <w:rsid w:val="00003B30"/>
    <w:rsid w:val="000040C6"/>
    <w:rsid w:val="00011418"/>
    <w:rsid w:val="00014926"/>
    <w:rsid w:val="00023448"/>
    <w:rsid w:val="00046E93"/>
    <w:rsid w:val="0005366F"/>
    <w:rsid w:val="00060D92"/>
    <w:rsid w:val="00061AF9"/>
    <w:rsid w:val="000626D3"/>
    <w:rsid w:val="0006599F"/>
    <w:rsid w:val="0009103E"/>
    <w:rsid w:val="000962F7"/>
    <w:rsid w:val="000C6638"/>
    <w:rsid w:val="000D13E1"/>
    <w:rsid w:val="000F1E1E"/>
    <w:rsid w:val="0010583C"/>
    <w:rsid w:val="00114C68"/>
    <w:rsid w:val="00123FBE"/>
    <w:rsid w:val="00135B05"/>
    <w:rsid w:val="00136F83"/>
    <w:rsid w:val="001A08BE"/>
    <w:rsid w:val="001B11E0"/>
    <w:rsid w:val="001F7C69"/>
    <w:rsid w:val="00203C59"/>
    <w:rsid w:val="00210631"/>
    <w:rsid w:val="00234AE7"/>
    <w:rsid w:val="00257686"/>
    <w:rsid w:val="00257D75"/>
    <w:rsid w:val="002736DA"/>
    <w:rsid w:val="0027562F"/>
    <w:rsid w:val="0029715B"/>
    <w:rsid w:val="002B3AA2"/>
    <w:rsid w:val="002B72FE"/>
    <w:rsid w:val="002C6DD3"/>
    <w:rsid w:val="002E0EDC"/>
    <w:rsid w:val="002F0999"/>
    <w:rsid w:val="0030245A"/>
    <w:rsid w:val="00307ED1"/>
    <w:rsid w:val="00343711"/>
    <w:rsid w:val="0035424F"/>
    <w:rsid w:val="003612FB"/>
    <w:rsid w:val="00386116"/>
    <w:rsid w:val="0039497B"/>
    <w:rsid w:val="00415648"/>
    <w:rsid w:val="004334C3"/>
    <w:rsid w:val="004505BB"/>
    <w:rsid w:val="00453197"/>
    <w:rsid w:val="0046038B"/>
    <w:rsid w:val="00477D15"/>
    <w:rsid w:val="004812F0"/>
    <w:rsid w:val="00493970"/>
    <w:rsid w:val="004A480D"/>
    <w:rsid w:val="004A5C5A"/>
    <w:rsid w:val="004E6D1F"/>
    <w:rsid w:val="004F6010"/>
    <w:rsid w:val="005442A7"/>
    <w:rsid w:val="00554344"/>
    <w:rsid w:val="00556202"/>
    <w:rsid w:val="0055739F"/>
    <w:rsid w:val="005621F6"/>
    <w:rsid w:val="00570569"/>
    <w:rsid w:val="00575CA8"/>
    <w:rsid w:val="00581ED7"/>
    <w:rsid w:val="00593E38"/>
    <w:rsid w:val="005C69B4"/>
    <w:rsid w:val="005D2294"/>
    <w:rsid w:val="005F0095"/>
    <w:rsid w:val="00602035"/>
    <w:rsid w:val="00612AA1"/>
    <w:rsid w:val="00642AD3"/>
    <w:rsid w:val="00646BF9"/>
    <w:rsid w:val="00652350"/>
    <w:rsid w:val="00655BC4"/>
    <w:rsid w:val="00656C86"/>
    <w:rsid w:val="00660A9C"/>
    <w:rsid w:val="00660C47"/>
    <w:rsid w:val="00663B89"/>
    <w:rsid w:val="00670754"/>
    <w:rsid w:val="00671CD7"/>
    <w:rsid w:val="00674DC6"/>
    <w:rsid w:val="00681D21"/>
    <w:rsid w:val="006832EF"/>
    <w:rsid w:val="006B2480"/>
    <w:rsid w:val="006D67EE"/>
    <w:rsid w:val="006D6C9F"/>
    <w:rsid w:val="006E398C"/>
    <w:rsid w:val="006F1879"/>
    <w:rsid w:val="007015AF"/>
    <w:rsid w:val="00706506"/>
    <w:rsid w:val="00751D2A"/>
    <w:rsid w:val="00753CD3"/>
    <w:rsid w:val="0076464D"/>
    <w:rsid w:val="007745FD"/>
    <w:rsid w:val="00783144"/>
    <w:rsid w:val="00797BE7"/>
    <w:rsid w:val="007A7447"/>
    <w:rsid w:val="007C70D4"/>
    <w:rsid w:val="007F6A94"/>
    <w:rsid w:val="008061BB"/>
    <w:rsid w:val="008256F5"/>
    <w:rsid w:val="00862150"/>
    <w:rsid w:val="00863545"/>
    <w:rsid w:val="008707D4"/>
    <w:rsid w:val="00876B3A"/>
    <w:rsid w:val="00877DF6"/>
    <w:rsid w:val="008821C4"/>
    <w:rsid w:val="008A1928"/>
    <w:rsid w:val="008A2A38"/>
    <w:rsid w:val="008B0B45"/>
    <w:rsid w:val="008C3403"/>
    <w:rsid w:val="008C4DA1"/>
    <w:rsid w:val="008D3CE8"/>
    <w:rsid w:val="008D4463"/>
    <w:rsid w:val="008D67A4"/>
    <w:rsid w:val="008E3459"/>
    <w:rsid w:val="008F3E88"/>
    <w:rsid w:val="009027EA"/>
    <w:rsid w:val="00915168"/>
    <w:rsid w:val="009A0134"/>
    <w:rsid w:val="009A34D5"/>
    <w:rsid w:val="009D326E"/>
    <w:rsid w:val="009D45EB"/>
    <w:rsid w:val="00A37BC9"/>
    <w:rsid w:val="00A643F9"/>
    <w:rsid w:val="00A70828"/>
    <w:rsid w:val="00AA6954"/>
    <w:rsid w:val="00AC158E"/>
    <w:rsid w:val="00AC589B"/>
    <w:rsid w:val="00AE70B9"/>
    <w:rsid w:val="00AF2DFB"/>
    <w:rsid w:val="00B11A6C"/>
    <w:rsid w:val="00B358CB"/>
    <w:rsid w:val="00B36D8E"/>
    <w:rsid w:val="00B64EAE"/>
    <w:rsid w:val="00B8015A"/>
    <w:rsid w:val="00BC1F52"/>
    <w:rsid w:val="00BD2FA1"/>
    <w:rsid w:val="00BD3BB5"/>
    <w:rsid w:val="00C22941"/>
    <w:rsid w:val="00C42493"/>
    <w:rsid w:val="00C46423"/>
    <w:rsid w:val="00C74C97"/>
    <w:rsid w:val="00C83799"/>
    <w:rsid w:val="00CA1301"/>
    <w:rsid w:val="00CA4889"/>
    <w:rsid w:val="00CD4340"/>
    <w:rsid w:val="00CD57A2"/>
    <w:rsid w:val="00CF0B4E"/>
    <w:rsid w:val="00D1585F"/>
    <w:rsid w:val="00D15A02"/>
    <w:rsid w:val="00D50FC2"/>
    <w:rsid w:val="00D77D6C"/>
    <w:rsid w:val="00D97215"/>
    <w:rsid w:val="00DA0DB9"/>
    <w:rsid w:val="00DB520A"/>
    <w:rsid w:val="00E21E52"/>
    <w:rsid w:val="00E32ED6"/>
    <w:rsid w:val="00E414C6"/>
    <w:rsid w:val="00E62765"/>
    <w:rsid w:val="00E71349"/>
    <w:rsid w:val="00E948C5"/>
    <w:rsid w:val="00EA73EB"/>
    <w:rsid w:val="00EC10F1"/>
    <w:rsid w:val="00EF058B"/>
    <w:rsid w:val="00F22089"/>
    <w:rsid w:val="00F22D36"/>
    <w:rsid w:val="00F25A0F"/>
    <w:rsid w:val="00F47C12"/>
    <w:rsid w:val="00F50643"/>
    <w:rsid w:val="00F77F74"/>
    <w:rsid w:val="00F90692"/>
    <w:rsid w:val="00F93EC2"/>
    <w:rsid w:val="00F95272"/>
    <w:rsid w:val="00F964B4"/>
    <w:rsid w:val="00FE6673"/>
    <w:rsid w:val="02144C36"/>
    <w:rsid w:val="044E14C1"/>
    <w:rsid w:val="08073803"/>
    <w:rsid w:val="0BD321D9"/>
    <w:rsid w:val="11CD0BD5"/>
    <w:rsid w:val="12A97AAC"/>
    <w:rsid w:val="136930E3"/>
    <w:rsid w:val="155C3078"/>
    <w:rsid w:val="1626225E"/>
    <w:rsid w:val="18364598"/>
    <w:rsid w:val="190C0A25"/>
    <w:rsid w:val="1A562397"/>
    <w:rsid w:val="21B610D4"/>
    <w:rsid w:val="24CB1931"/>
    <w:rsid w:val="28E642F0"/>
    <w:rsid w:val="2AF24A3F"/>
    <w:rsid w:val="2D797919"/>
    <w:rsid w:val="2F682C0E"/>
    <w:rsid w:val="36430BF9"/>
    <w:rsid w:val="37445C8B"/>
    <w:rsid w:val="3F4D2577"/>
    <w:rsid w:val="45544409"/>
    <w:rsid w:val="4A507393"/>
    <w:rsid w:val="50052B99"/>
    <w:rsid w:val="52F573FC"/>
    <w:rsid w:val="5323789F"/>
    <w:rsid w:val="536226C8"/>
    <w:rsid w:val="53BD4F9A"/>
    <w:rsid w:val="5A321496"/>
    <w:rsid w:val="5DC71F62"/>
    <w:rsid w:val="5E433FE1"/>
    <w:rsid w:val="617F52FC"/>
    <w:rsid w:val="62D40FF8"/>
    <w:rsid w:val="6832662F"/>
    <w:rsid w:val="694E5E7A"/>
    <w:rsid w:val="6AFD56A4"/>
    <w:rsid w:val="6B340F05"/>
    <w:rsid w:val="6F3707C2"/>
    <w:rsid w:val="70322A70"/>
    <w:rsid w:val="75622B24"/>
    <w:rsid w:val="75910360"/>
    <w:rsid w:val="77E153A8"/>
    <w:rsid w:val="78867B23"/>
    <w:rsid w:val="7AF062F3"/>
    <w:rsid w:val="7C0671CA"/>
    <w:rsid w:val="7C237287"/>
    <w:rsid w:val="7CC739A7"/>
    <w:rsid w:val="7CEB31F2"/>
    <w:rsid w:val="7D537911"/>
    <w:rsid w:val="7E1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7"/>
    <w:qFormat/>
    <w:uiPriority w:val="0"/>
    <w:pPr>
      <w:spacing w:after="0" w:line="240" w:lineRule="auto"/>
      <w:jc w:val="both"/>
    </w:pPr>
    <w:rPr>
      <w:rFonts w:ascii="Arial" w:hAnsi="Arial" w:eastAsia="Times New Roman" w:cs="Times New Roman"/>
      <w:szCs w:val="24"/>
      <w:lang w:eastAsia="en-US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Body Text Char"/>
    <w:basedOn w:val="2"/>
    <w:link w:val="5"/>
    <w:qFormat/>
    <w:uiPriority w:val="0"/>
    <w:rPr>
      <w:rFonts w:ascii="Arial" w:hAnsi="Arial" w:eastAsia="Times New Roman" w:cs="Times New Roman"/>
      <w:szCs w:val="24"/>
      <w:lang w:eastAsia="en-US"/>
    </w:r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934</Words>
  <Characters>5324</Characters>
  <Lines>44</Lines>
  <Paragraphs>12</Paragraphs>
  <TotalTime>15</TotalTime>
  <ScaleCrop>false</ScaleCrop>
  <LinksUpToDate>false</LinksUpToDate>
  <CharactersWithSpaces>6246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2017-02-14T08:51:00Z</dcterms:created>
  <dc:creator>Korisnik</dc:creator>
  <cp:lastModifiedBy>Korisnik</cp:lastModifiedBy>
  <cp:lastPrinted>2022-02-18T09:47:00Z</cp:lastPrinted>
  <dcterms:modified xsi:type="dcterms:W3CDTF">2023-02-14T12:00:15Z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3D698E5199D5489397346AA79192D012</vt:lpwstr>
  </property>
</Properties>
</file>